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Kalix kommunfullmäktige</w:t>
      </w:r>
    </w:p>
    <w:p>
      <w:pPr>
        <w:pStyle w:val="Heading1"/>
      </w:pPr>
      <w:r>
        <w:t xml:space="preserve">Utveckla hållbar turism längs Kalixälven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Kalixälven har stor potential för fiske-, paddel- och naturturism. Besöksnäringen omsätter idag cirka 45 miljoner kronor men kan fördubblas med bättre infrastruktur (Visit Norrbotten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turismstrategi för Kalixälven tillsammans med näringslivet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rastplatser, bryggor och skyltning längs älven.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stödja lokala producenter genom en gemensam marknadsföringsplattform.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ansöka om EU-medel för hållbar besöksnäring.</w:t>
      </w:r>
    </w:p>
    <w:p>
      <w:pPr>
        <w:spacing w:before="360"/>
      </w:pPr>
    </w:p>
    <w:p>
      <w:r>
        <w:t xml:space="preserve">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2026-07-14T00:22:26.063Z</dcterms:created>
  <dcterms:modified xsi:type="dcterms:W3CDTF">2026-07-14T00:22:26.063Z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