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Haparanda kommunfullmäktige</w:t>
      </w:r>
    </w:p>
    <w:p>
      <w:pPr>
        <w:pStyle w:val="Heading1"/>
      </w:pPr>
      <w:r>
        <w:t xml:space="preserve">Decentraliserad service och medborgarinflytande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Haparanda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Centralisering har minskat service på landsbygden. Centerpartiet vill flytta makt närmare medborgarna.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Haparanda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Haparanda kommunfullmäktige beslutar att inrätta lokala servicekontor i Nikkala, Seskarö och Korpikylä.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Haparanda kommunfullmäktige beslutar att ge lokala föreningar större inflytande över kultur- och fritidsbudgeten.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Haparanda kommunfullmäktige beslutar att införa medborgarbudget på 2 mnkr per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Haparanda kommunfullmäktige beslutar att utvärdera decentraliseringsåtgärder årligen.</w:t>
      </w:r>
    </w:p>
    <w:p>
      <w:pPr>
        <w:spacing w:before="360"/>
      </w:pPr>
    </w:p>
    <w:p>
      <w:r>
        <w:t xml:space="preserve">Haparanda,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Haparanda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2026-07-14T00:08:42.777Z</dcterms:created>
  <dcterms:modified xsi:type="dcterms:W3CDTF">2026-07-14T00:08:42.777Z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