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Haparanda kommunfullmäktige</w:t>
      </w:r>
    </w:p>
    <w:p>
      <w:pPr>
        <w:pStyle w:val="Heading1"/>
      </w:pPr>
      <w:r>
        <w:t xml:space="preserve">Äldreomsorg nära medborgaren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Haparanda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upplever längre avstånd till vård och hemtjänst. Socialstyrelsen rapporterar om ojämlikhet i tillgång.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Haparanda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Haparanda kommunfullmäktige beslutar att införa mobila hemtjänstteam för landsbygdsområden.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Haparanda kommunfullmäktige beslutar att utöka antalet platser i särskilt boende i Seskarö och Nikkala.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Haparanda kommunfullmäktige beslutar att erbjuda digitala tillsynsbesök som komplement.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Haparanda kommunfullmäktige beslutar att anställa fler vårdbiträden med lokal förankring.</w:t>
      </w:r>
    </w:p>
    <w:p>
      <w:pPr>
        <w:spacing w:before="360"/>
      </w:pPr>
    </w:p>
    <w:p>
      <w:r>
        <w:t xml:space="preserve">Haparanda,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Haparanda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2026-07-14T00:08:42.736Z</dcterms:created>
  <dcterms:modified xsi:type="dcterms:W3CDTF">2026-07-14T00:08:42.736Z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