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Boden kommunfullmäktige</w:t>
      </w:r>
    </w:p>
    <w:p>
      <w:pPr>
        <w:pStyle w:val="Heading1"/>
      </w:pPr>
      <w:r>
        <w:t xml:space="preserve">Bättre kollektivtrafik till Bodens industriområden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Boden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Nya datacenter och gröna industrier ligger utanför tätorten. Nuvarande linjetrafik täcker inte skiftarbete enligt Länstrafiken Norrbotten 2025. Detta försvårar rekrytering.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Boden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uppdrag att utreda utökad linjetrafik till industriområden med minst 4 turer per dygn.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företag om finansiering av arbetspendling inleds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eldrivna bussar prioriteras i upphandling från 2028.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resandeutveckling följs upp årligen i kommunfullmäktige.</w:t>
      </w:r>
    </w:p>
    <w:p>
      <w:pPr>
        <w:spacing w:before="360"/>
      </w:pPr>
    </w:p>
    <w:p>
      <w:r>
        <w:t xml:space="preserve">Boden,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Boden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2026-07-13T23:40:19.288Z</dcterms:created>
  <dcterms:modified xsi:type="dcterms:W3CDTF">2026-07-13T23:40:19.288Z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