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Växjö kommunfullmäktige</w:t>
      </w:r>
    </w:p>
    <w:p>
      <w:pPr>
        <w:pStyle w:val="Heading1"/>
      </w:pPr>
      <w:r>
        <w:t xml:space="preserve">Stärkt biologisk mångfald och lokal grön energi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Växjö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Växjö har höga ambitioner men behöver mer konkret arbete med pollinatörer och sol/vind på kommunal mark enligt länsstyrelsen.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Växjö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handlingsplan för biologisk mångfald antas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solceller installeras på kommunala fastigheter med minst 2 MW effekt.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cirkulär ekonomi prioriteras i upphandlingar.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samverkan med lokala lantbrukare för gröna lösningar initieras.</w:t>
      </w:r>
    </w:p>
    <w:p>
      <w:pPr>
        <w:spacing w:before="360"/>
      </w:pPr>
    </w:p>
    <w:p>
      <w:r>
        <w:t xml:space="preserve">Växjö,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Växjö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2026-07-14T01:54:25.392Z</dcterms:created>
  <dcterms:modified xsi:type="dcterms:W3CDTF">2026-07-14T01:54:25.392Z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