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Lessebo kommunfullmäktige</w:t>
      </w:r>
    </w:p>
    <w:p>
      <w:pPr>
        <w:pStyle w:val="Heading1"/>
      </w:pPr>
      <w:r>
        <w:t xml:space="preserve">Cykelvägar och hållbar pendling i Lessebo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Lessebo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Vägarna mellan tätorter är osäkra för cyklister. Kolada och Trafikverket visar låg andel cykelpendling.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Lessebo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cykelväg mellan Lessebo och Kosta i nästa budget.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ansöka om statliga cykelvägsmedel.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installera belysning på befintliga gång- och cykelvägar.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cykelbidrag för kommunanställda.</w:t>
      </w:r>
    </w:p>
    <w:p>
      <w:pPr>
        <w:spacing w:before="360"/>
      </w:pPr>
    </w:p>
    <w:p>
      <w:r>
        <w:t xml:space="preserve">Lessebo,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Lessebo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2026-07-14T00:38:07.659Z</dcterms:created>
  <dcterms:modified xsi:type="dcterms:W3CDTF">2026-07-14T00:38:07.659Z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