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Alvesta kommunfullmäktige</w:t>
      </w:r>
    </w:p>
    <w:p>
      <w:pPr>
        <w:pStyle w:val="Heading1"/>
      </w:pPr>
      <w:r>
        <w:t xml:space="preserve">Öka biologisk mångfald i kommunens skogar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Alvesta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äger betydande skogsarealer. Enligt länsstyrelsens rapport 2025 finns potential att stärka biologisk mångfald genom anpassad skötsel.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Alvesta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ny skogsbruksplan med minst 15 % avsatt för naturvård.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tekniska förvaltningen i uppdrag att inventera skyddsvärda arter.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prioriterar lövskog och kantzoner vid avverkning.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årligen hur mångfalden utvecklas.</w:t>
      </w:r>
    </w:p>
    <w:p>
      <w:pPr>
        <w:spacing w:before="360"/>
      </w:pPr>
    </w:p>
    <w:p>
      <w:r>
        <w:t xml:space="preserve">Alvesta,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Alvesta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2026-07-13T23:31:25.970Z</dcterms:created>
  <dcterms:modified xsi:type="dcterms:W3CDTF">2026-07-13T23:31:25.970Z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