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Hultsfred kommunfullmäktige</w:t>
      </w:r>
    </w:p>
    <w:p>
      <w:pPr>
        <w:pStyle w:val="Heading1"/>
      </w:pPr>
      <w:r>
        <w:t xml:space="preserve">Digital och effektiv kommunservice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Hultsfred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behöver utvecklas för att minska administration och öka tillgängligheten för invånare och 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Hultsfred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digitaliseringsplan antas med mål om 80 % av ärenden digitalt hanterade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e-tjänster införs för bygglov, bidrag och äldreomsorg.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digital service erbjuds till kommunens medarbetare.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digitaliseringsrapport lämnas till kommunfullmäktige.</w:t>
      </w:r>
    </w:p>
    <w:p>
      <w:pPr>
        <w:spacing w:before="360"/>
      </w:pPr>
    </w:p>
    <w:p>
      <w:r>
        <w:t xml:space="preserve">Hultsfred,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Hultsfred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2026-07-14T00:14:10.850Z</dcterms:created>
  <dcterms:modified xsi:type="dcterms:W3CDTF">2026-07-14T00:14:10.850Z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