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Vetlanda kommunfullmäktige</w:t>
      </w:r>
    </w:p>
    <w:p>
      <w:pPr>
        <w:pStyle w:val="Heading1"/>
      </w:pPr>
      <w:r>
        <w:t xml:space="preserve">Hållbar turism kring natur och lokala producenter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Vetlanda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Vetlanda har potential för naturturism kring sjöar och skogar men saknar samordnad strategi. Besöksnäringen kan bidra till jobb och befolkningstillväxt.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Vetlanda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anta en turismstrategi med fokus på hållbarhet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stödja lokala producenter genom en gemensam marknadsföringsplattform.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utveckla cykel- och vandringsleder med skyltning.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antal besökare och omsättning från turism.</w:t>
      </w:r>
    </w:p>
    <w:p>
      <w:pPr>
        <w:spacing w:before="360"/>
      </w:pPr>
    </w:p>
    <w:p>
      <w:r>
        <w:t xml:space="preserve">Vetlanda,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Vetlanda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2026-07-14T01:48:21.016Z</dcterms:created>
  <dcterms:modified xsi:type="dcterms:W3CDTF">2026-07-14T01:48:21.016Z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