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Vetlanda kommunfullmäktige</w:t>
      </w:r>
    </w:p>
    <w:p>
      <w:pPr>
        <w:pStyle w:val="Heading1"/>
      </w:pPr>
      <w:r>
        <w:t xml:space="preserve">Fler bostäder på rimliga villkor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Vetlanda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råder både i centralorten och i orter som Landsbro och Ekenässjön. Endast 12 nya småhus byggdes 2024 enligt kommunens byggstatistik. Hyresrätter saknas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Vetlanda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uppdatera bostadsförsörjningsprogrammet med mål om 80 nya bostäder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mark till reducerat pris för småhusbyggande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stimulera byggande av hyresrätter genom riktade markanvisningar.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en årlig bostadsrapport till fullmäktige.</w:t>
      </w:r>
    </w:p>
    <w:p>
      <w:pPr>
        <w:spacing w:before="360"/>
      </w:pPr>
    </w:p>
    <w:p>
      <w:r>
        <w:t xml:space="preserve">Vetlanda,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Vetlanda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2026-07-14T01:48:20.984Z</dcterms:created>
  <dcterms:modified xsi:type="dcterms:W3CDTF">2026-07-14T01:48:20.984Z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