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Vetlanda kommunfullmäktige</w:t>
      </w:r>
    </w:p>
    <w:p>
      <w:pPr>
        <w:pStyle w:val="Heading1"/>
      </w:pPr>
      <w:r>
        <w:t xml:space="preserve">Åtgärder för biologisk mångfald i Vetlanda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Vetlanda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skogar och sjöar har minskad biologisk mångfald enligt länsstyrelsens inventering 2024. Artrikedomen i ängs- och hagmarker har minskat med 18 % de senaste tio åren.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Vetlanda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anta en handlingsplan för biologisk mångfald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restaurera minst 50 hektar ängsmark årligen 2027–2030.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krav på pollinatörsvänliga växter vid nyplantering på kommunal mark.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samarbeta med ideella föreningar för skötsel av naturreservat.</w:t>
      </w:r>
    </w:p>
    <w:p>
      <w:pPr>
        <w:spacing w:before="360"/>
      </w:pPr>
    </w:p>
    <w:p>
      <w:r>
        <w:t xml:space="preserve">Vetlanda,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Vetlanda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2026-07-14T01:48:20.979Z</dcterms:created>
  <dcterms:modified xsi:type="dcterms:W3CDTF">2026-07-14T01:48:20.979Z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