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Tranås kommunfullmäktige</w:t>
      </w:r>
    </w:p>
    <w:p>
      <w:pPr>
        <w:pStyle w:val="Heading1"/>
      </w:pPr>
      <w:r>
        <w:t xml:space="preserve">Främja byggande av småhus och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Tranås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Befolkningen ökar långsamt och många unga flyttar från kommunen. Kolada visar behov av fler bostäder på rimliga villkor för att behålla invånare och attrahera inflyttare.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Tranås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ett mål om 80 nya bostäder per år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planberedskap för småhusområden på landsbygden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allmännyttan och privata aktörer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bostadsrapport lämnas till kommunfullmäktige.</w:t>
      </w:r>
    </w:p>
    <w:p>
      <w:pPr>
        <w:spacing w:before="360"/>
      </w:pPr>
    </w:p>
    <w:p>
      <w:r>
        <w:t xml:space="preserve">Tranås,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Tranås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2026-07-14T01:35:01.586Z</dcterms:created>
  <dcterms:modified xsi:type="dcterms:W3CDTF">2026-07-14T01:35:01.586Z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