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Jönköping kommunfullmäktige</w:t>
      </w:r>
    </w:p>
    <w:p>
      <w:pPr>
        <w:pStyle w:val="Heading1"/>
      </w:pPr>
      <w:r>
        <w:t xml:space="preserve">Stärkt digital kompetens i Jönköpings grundskolor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Jönköping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endast 68 % av eleverna når god digital kompetens. Landsbygdsskolor har sämre tillgång till utrustning.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Jönköping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barn- och utbildningsnämnden i uppdrag att införa obligatorisk digital kompetensutbildning för lärare.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3 miljoner kronor för digital utrustning till landsbygdsskolor.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följer upp resultaten via Kolada årligen.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säkerställer likvärdig tillgång till digitala verktyg i hela kommunen.</w:t>
      </w:r>
    </w:p>
    <w:p>
      <w:pPr>
        <w:spacing w:before="360"/>
      </w:pPr>
    </w:p>
    <w:p>
      <w:r>
        <w:t xml:space="preserve">Jönköping,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Jönköping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2026-07-14T00:21:51.852Z</dcterms:created>
  <dcterms:modified xsi:type="dcterms:W3CDTF">2026-07-14T00:21:51.852Z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