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Habo kommunfullmäktige</w:t>
      </w:r>
    </w:p>
    <w:p>
      <w:pPr>
        <w:pStyle w:val="Heading1"/>
      </w:pPr>
      <w:r>
        <w:t xml:space="preserve">Snabbare bygglovsprocesser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Habo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Svenskt Näringslivs ranking 2024 placerar Habo på plats 187 av 290 kommuner gällande företagsklimat, där handläggningstider för bygglov är en svag punkt. Långa tider försenar investeringar och bostadsbyggande.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Habo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Habo kommunfullmäktige beslutar att införa tidsgaranti på max 8 veckor för bygglov.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Habo kommunfullmäktige beslutar att digitalisera hela bygglovsprocessen med e-tjänster.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Habo kommunfullmäktige beslutar att minska avgifterna för småskaliga byggprojekt med 20 %.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Habo kommunfullmäktige beslutar att tillsätta en kontaktperson för företag som söker bygglov.</w:t>
      </w:r>
    </w:p>
    <w:p>
      <w:pPr>
        <w:spacing w:before="360"/>
      </w:pPr>
    </w:p>
    <w:p>
      <w:r>
        <w:t xml:space="preserve">Habo,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Habo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2026-07-14T00:04:57.358Z</dcterms:created>
  <dcterms:modified xsi:type="dcterms:W3CDTF">2026-07-14T00:04:57.358Z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