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Strömsund kommunfullmäktige</w:t>
      </w:r>
    </w:p>
    <w:p>
      <w:pPr>
        <w:pStyle w:val="Heading1"/>
      </w:pPr>
      <w:r>
        <w:t xml:space="preserve">Bredband till alla byar i Strömsund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Strömsund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Strömsunds kommun har fortfarande områden utan fiber trots nationella mål. PTS rapport 2025 visar att endast 68 % av hushållen i glesbygd har tillgång till 100 Mbit/s. Detta hindrar distansarbete, företagande och digital inkludering. Centerpartiet vill prioritera utbyggnad i Frostviken, Gäddede och Hotagen.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Strömsund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kommunstyrelsen i uppdrag att ta fram en prioriterad utbyggnadsplan för fiber till samtliga byar med färre än 50 hushåll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avsätter 3 miljoner kronor årligen i budgeten för medfinansiering av bredbandsprojekt.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Telia och lokala fiberföreningar formaliseras i ett avtal under 2026.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av utbyggnadstakten redovisas i kommunfullmäktige varje halvår.</w:t>
      </w:r>
    </w:p>
    <w:p>
      <w:pPr>
        <w:spacing w:before="360"/>
      </w:pPr>
    </w:p>
    <w:p>
      <w:r>
        <w:t xml:space="preserve">Strömsund,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Strömsund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2026-07-14T01:22:17.406Z</dcterms:created>
  <dcterms:modified xsi:type="dcterms:W3CDTF">2026-07-14T01:22:17.406Z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