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Krokom kommunfullmäktige</w:t>
      </w:r>
    </w:p>
    <w:p>
      <w:pPr>
        <w:pStyle w:val="Heading1"/>
      </w:pPr>
      <w:r>
        <w:t xml:space="preserve">Fler bostäder för unga och äldre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Krokom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 2025 visar bostadsbrist i tätorten Krokom. Småhus och hyresrätter behövs för att behålla unga och möjliggöra generationsboende.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Krokom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ett mål om 80 nya bostäder per år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prioriterar småhusområden i detaljplaner för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kommunstyrelsen i uppdrag att erbjuda mark till lägre pris för hyresbostäder.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bostadsbyggandet i årsbokslutet.</w:t>
      </w:r>
    </w:p>
    <w:p>
      <w:pPr>
        <w:spacing w:before="360"/>
      </w:pPr>
    </w:p>
    <w:p>
      <w:r>
        <w:t xml:space="preserve">Krokom,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Krokom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2026-07-14T00:31:23.617Z</dcterms:created>
  <dcterms:modified xsi:type="dcterms:W3CDTF">2026-07-14T00:31:23.617Z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