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Härjedalen kommunfullmäktige</w:t>
      </w:r>
    </w:p>
    <w:p>
      <w:pPr>
        <w:pStyle w:val="Heading1"/>
      </w:pPr>
      <w:r>
        <w:t xml:space="preserve">Bredbandsutbyggnad i hela Härjedalen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Härjedalen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35 % av hushållen saknar fiber eller snabb uppkoppling enligt PTS 2025. Detta drabbar företag, distansarbete och skola i områden som Lofsdalen och Tännäs. Kommunen har tidigare beviljat medel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Härjedalen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ta fram en ny bredbandsstrategi med mål om 95 % täckning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8 miljoner kronor per år 2027–2029 för samfinansiering med statliga medel.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prioritera områden utan kommersiell utbyggnad i första hand.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årligen redovisa utbyggnadstakt till kommunfullmäktige.</w:t>
      </w:r>
    </w:p>
    <w:p>
      <w:pPr>
        <w:spacing w:before="360"/>
      </w:pPr>
    </w:p>
    <w:p>
      <w:r>
        <w:t xml:space="preserve">Härjedalen,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Härjedalen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2026-07-14T00:16:24.681Z</dcterms:created>
  <dcterms:modified xsi:type="dcterms:W3CDTF">2026-07-14T00:16:24.681Z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