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Bräcke kommunfullmäktige</w:t>
      </w:r>
    </w:p>
    <w:p>
      <w:pPr>
        <w:pStyle w:val="Heading1"/>
      </w:pPr>
      <w:r>
        <w:t xml:space="preserve">Cirkulär ekonomi inom skogsbruket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Bräcke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Skogen är basnäring men avfallshantering kan förbättras. Klimat- och miljönytta samt nya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Bräcke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antar mål om 30 % cirkulär användning av skogsråvara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skogsägare och företag initieras.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utbildningar i cirkulär ekonomi erbjuds lokalt.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restprodukter från skog används för energi och material.</w:t>
      </w:r>
    </w:p>
    <w:p>
      <w:pPr>
        <w:spacing w:before="360"/>
      </w:pPr>
    </w:p>
    <w:p>
      <w:r>
        <w:t xml:space="preserve">Bräcke,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Bräcke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2026-07-13T23:45:13.157Z</dcterms:created>
  <dcterms:modified xsi:type="dcterms:W3CDTF">2026-07-13T23:45:13.157Z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