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Bräcke kommunfullmäktige</w:t>
      </w:r>
    </w:p>
    <w:p>
      <w:pPr>
        <w:pStyle w:val="Heading1"/>
      </w:pPr>
      <w:r>
        <w:t xml:space="preserve">Bredband till alla byar i Bräcke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Bräcke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50 % av landsbygden har fiber enligt PTS 2025. Många hushåll saknar snabb uppkoppling vilket hindrar distansarbete och företag. Kommunen har tidigare sökt men inte fullt utnyttjat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Bräcke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tar fram en handlingsplan för fiberutbyggnad till samtliga byar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ansöker om maximalt statligt och EU-stöd för bredbandsutbyggnad.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prioriteras för kostnadseffektiv utbyggnad.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status för bredband rapporteras årligen till kommunfullmäktige.</w:t>
      </w:r>
    </w:p>
    <w:p>
      <w:pPr>
        <w:spacing w:before="360"/>
      </w:pPr>
    </w:p>
    <w:p>
      <w:r>
        <w:t xml:space="preserve">Bräcke,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Bräcke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2026-07-13T23:45:13.112Z</dcterms:created>
  <dcterms:modified xsi:type="dcterms:W3CDTF">2026-07-13T23:45:13.112Z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