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Berg kommunfullmäktige</w:t>
      </w:r>
    </w:p>
    <w:p>
      <w:pPr>
        <w:pStyle w:val="Heading1"/>
      </w:pPr>
      <w:r>
        <w:t xml:space="preserve">Trygg skolskjuts och landsbygdsskolor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Skolresultaten ligger under länsgenomsnittet (Kolada). Landsbygdsskolor hotas av elevminskning. Trygg skolskjuts och valfrihet är avgörande för familjer.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garanterar skolskjuts inom 3 km för elever i årskurs 1–6.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översyn av landsbygdsskolornas ekonomi görs för att säkra deras framtid.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digitala läromedel och distansundervisning stärks som komplement.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friskolor underlättas.</w:t>
      </w:r>
    </w:p>
    <w:p>
      <w:pPr>
        <w:spacing w:before="360"/>
      </w:pPr>
    </w:p>
    <w:p>
      <w:r>
        <w:t xml:space="preserve">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2026-07-13T23:38:59.132Z</dcterms:created>
  <dcterms:modified xsi:type="dcterms:W3CDTF">2026-07-13T23:38:59.132Z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