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Kungsbacka kommunfullmäktige</w:t>
      </w:r>
    </w:p>
    <w:p>
      <w:pPr>
        <w:pStyle w:val="Heading1"/>
      </w:pPr>
      <w:r>
        <w:t xml:space="preserve">Insatser för ökad studiero och lärarbehörighet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Kungsbacka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Vissa skolor i Kungsbacka har lägre studiero och andel behöriga lärare enligt Skolverkets statistik 2024. Detta påverkar kunskapsresultaten negativt.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Kungsbacka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ger utbildningsnämnden i uppdrag att införa studiero-program i alla skolor.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erbjuda kompetensutveckling för att öka andelen behöriga lärare till 95 %.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satsa på mindre klasser i årskurs 1–3.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redovisa meritvärden och lärarbehörighet årligen.</w:t>
      </w:r>
    </w:p>
    <w:p>
      <w:pPr>
        <w:spacing w:before="360"/>
      </w:pPr>
    </w:p>
    <w:p>
      <w:r>
        <w:t xml:space="preserve">Kungsbacka,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Kungsbacka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2026-07-14T00:32:27.918Z</dcterms:created>
  <dcterms:modified xsi:type="dcterms:W3CDTF">2026-07-14T00:32:27.918Z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