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Falkenberg kommunfullmäktige</w:t>
      </w:r>
    </w:p>
    <w:p>
      <w:pPr>
        <w:pStyle w:val="Heading1"/>
      </w:pPr>
      <w:r>
        <w:t xml:space="preserve">Stöd till besöksnäring och hållbar turism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Falkenberg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Turismen i Falkenberg omsätter över 1,2 miljarder kronor årligen. Hållbar utveckling krävs för att skydda stränder och natur (kommunens turismstrategi 2023).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Falkenberg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strategi för hållbar turism antas 2027 med fokus på natur och kultur.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stöd till lokala producenter och evenemang utökas med 1 miljon kronor per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digital marknadsföring av Falkenbergs destination prioriteras.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effekter på sysselsättning och miljö följs upp årligen.</w:t>
      </w:r>
    </w:p>
    <w:p>
      <w:pPr>
        <w:spacing w:before="360"/>
      </w:pPr>
    </w:p>
    <w:p>
      <w:r>
        <w:t xml:space="preserve">Falkenberg,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Falkenberg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2026-07-13T23:53:42.713Z</dcterms:created>
  <dcterms:modified xsi:type="dcterms:W3CDTF">2026-07-13T23:53:42.713Z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