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Falkenberg kommunfullmäktige</w:t>
      </w:r>
    </w:p>
    <w:p>
      <w:pPr>
        <w:pStyle w:val="Heading1"/>
      </w:pPr>
      <w:r>
        <w:t xml:space="preserve">Bättre studiero och stöd till landsbygdsskolor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Falkenberg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Skolresultaten i Falkenbergs landsbygdsskolor ligger under kommunsnittet (Kolada 2024). Studiero och tillgång till specialpedagoger behöver stärkas.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Falkenberg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varje landsbygdsskola garanteras minst en specialpedagog per 150 elever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om riktade medel för studiero-insatser.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digital kompetensutveckling för lärare prioriteras.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följs upp i skolrapporten till kommunfullmäktige.</w:t>
      </w:r>
    </w:p>
    <w:p>
      <w:pPr>
        <w:spacing w:before="360"/>
      </w:pPr>
    </w:p>
    <w:p>
      <w:r>
        <w:t xml:space="preserve">Falkenberg,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Falkenberg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2026-07-13T23:53:42.691Z</dcterms:created>
  <dcterms:modified xsi:type="dcterms:W3CDTF">2026-07-13T23:53:42.691Z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