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Sandviken kommunfullmäktige</w:t>
      </w:r>
    </w:p>
    <w:p>
      <w:pPr>
        <w:pStyle w:val="Heading1"/>
      </w:pPr>
      <w:r>
        <w:t xml:space="preserve">Solceller på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Sandviken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Sandviken har goda förutsättningar för solenergi. Kommunens fastigheter har stora takytor som idag inte utnyttjas. Målet är att minska elkostnader och bidra till klimatomställning.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Sandviken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solcellsanläggningar på minst 10 kommunala fastigheter fram till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investeringsram på 25 mnkr avsätts under perioden.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elproduktionen mäts och redovisas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överskottsel säljs på marknaden med intäkter som går tillbaka till verksamheten.</w:t>
      </w:r>
    </w:p>
    <w:p>
      <w:pPr>
        <w:spacing w:before="360"/>
      </w:pPr>
    </w:p>
    <w:p>
      <w:r>
        <w:t xml:space="preserve">Sandviken,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Sandviken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2026-07-14T01:10:49.049Z</dcterms:created>
  <dcterms:modified xsi:type="dcterms:W3CDTF">2026-07-14T01:10:49.049Z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