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Ovanåker kommunfullmäktige</w:t>
      </w:r>
    </w:p>
    <w:p>
      <w:pPr>
        <w:pStyle w:val="Heading1"/>
      </w:pPr>
      <w:r>
        <w:t xml:space="preserve">Stöd till lokala livsmedelsproducenter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Ovanåker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Småskaliga producenter i Ovanåker har svårt att nå kommunens upphandlingar. Cirkulär ekonomi och jobb kan stärkas.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Ovanåker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krav på minst 20 % lokalt producerade livsmedel i kommunens upphandlingar från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anordna årliga matchningsdagar mellan producenter och kommun.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rådgivning om EU-stöd för småskalig produktion.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andel lokala inköp i årsredovisningen.</w:t>
      </w:r>
    </w:p>
    <w:p>
      <w:pPr>
        <w:spacing w:before="360"/>
      </w:pPr>
    </w:p>
    <w:p>
      <w:r>
        <w:t xml:space="preserve">Ovanåker,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Ovanåker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2026-07-14T01:04:21.963Z</dcterms:created>
  <dcterms:modified xsi:type="dcterms:W3CDTF">2026-07-14T01:04:21.963Z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