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Ovanåker kommunfullmäktige</w:t>
      </w:r>
    </w:p>
    <w:p>
      <w:pPr>
        <w:pStyle w:val="Heading1"/>
      </w:pPr>
      <w:r>
        <w:t xml:space="preserve">Utveckling av hållbar turism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Ovanåker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Ovanåker har potential inom naturturism kring Voxnan och skogarna men saknar samordnad strategi. Besöksnäringen kan skapa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Ovanåker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turismstrategi tillsammans med lokala aktörer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500 000 kr för skyltning och digital marknadsföring.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stödja cykel- och vandringsleder med 200 000 kr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antal gästnätter årligen.</w:t>
      </w:r>
    </w:p>
    <w:p>
      <w:pPr>
        <w:spacing w:before="360"/>
      </w:pPr>
    </w:p>
    <w:p>
      <w:r>
        <w:t xml:space="preserve">Ovanåker,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Ovanåker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2026-07-14T01:04:21.957Z</dcterms:created>
  <dcterms:modified xsi:type="dcterms:W3CDTF">2026-07-14T01:04:21.957Z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