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Ljusdal kommunfullmäktige</w:t>
      </w:r>
    </w:p>
    <w:p>
      <w:pPr>
        <w:pStyle w:val="Heading1"/>
      </w:pPr>
      <w:r>
        <w:t xml:space="preserve">Bredband till alla byar i Ljusdal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Ljusdal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Enligt PTS 2025 saknar 18 % av hushållen i Ljusdals landsbygd tillgång till 100 Mbit/s. Detta hämmar distansarbete, företagande och service. Kommunen har tidigare prioriterat tätorterna (Ljusdals kommun budget 2025).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Ljusdal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kommunstyrelsen i uppdrag att kartlägga återstående vita fläckar för bredband senast 2026-12-31.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3 miljoner kronor årligen 2027–2029 för medfinansiering av bredbandsutbyggnad på landsbygden.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begär att region Gävleborg prioriterar Ljusdal i nästa bredbandsutlysning.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årligen redovisar utbyggnadstakt till fullmäktige.</w:t>
      </w:r>
    </w:p>
    <w:p>
      <w:pPr>
        <w:spacing w:before="360"/>
      </w:pPr>
    </w:p>
    <w:p>
      <w:r>
        <w:t xml:space="preserve">Ljusdal,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Ljusdal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2026-07-14T00:42:02.248Z</dcterms:created>
  <dcterms:modified xsi:type="dcterms:W3CDTF">2026-07-14T00:42:02.248Z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