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Smedjebacken kommunfullmäktige</w:t>
      </w:r>
    </w:p>
    <w:p>
      <w:pPr>
        <w:pStyle w:val="Heading1"/>
      </w:pPr>
      <w:r>
        <w:t xml:space="preserve">Klimatanpassad energiproduktion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Smedjebacken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 har goda förutsättningar för sol och vind men saknar strategi. Klimat- och energiprogrammet behöver uppdateras.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Smedjebacken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sol- och vindkraftstrategi antas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tak på kommunala fastigheter nyttjas för solceller.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Ovako för restvärme utreds.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invånare erbjuds rådgivning om energistöd.</w:t>
      </w:r>
    </w:p>
    <w:p>
      <w:pPr>
        <w:spacing w:before="360"/>
      </w:pPr>
    </w:p>
    <w:p>
      <w:r>
        <w:t xml:space="preserve">Smedjebacken,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Smedjebacken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2026-07-14T01:15:51.953Z</dcterms:created>
  <dcterms:modified xsi:type="dcterms:W3CDTF">2026-07-14T01:15:51.953Z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