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Rättvik kommunfullmäktige</w:t>
      </w:r>
    </w:p>
    <w:p>
      <w:pPr>
        <w:pStyle w:val="Heading1"/>
      </w:pPr>
      <w:r>
        <w:t xml:space="preserve">Cirkulär ekonomi inom besöksnäringen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Rättvik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Rättviks turism genererar mycket avfall. Cirkulär ekonomi kan minska miljöpåverkan och skapa nya jobb.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Rättvik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ta fram en handlingsplan för cirkulär besöksnäring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sorteringssystem på populära besöksmål.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ge bidrag till företag som återanvänder material.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samarbeta med Högskolan Dalarna om forskning inom området.</w:t>
      </w:r>
    </w:p>
    <w:p>
      <w:pPr>
        <w:spacing w:before="360"/>
      </w:pPr>
    </w:p>
    <w:p>
      <w:r>
        <w:t xml:space="preserve">Rättvik,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Rättvik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2026-07-14T01:09:08.966Z</dcterms:created>
  <dcterms:modified xsi:type="dcterms:W3CDTF">2026-07-14T01:09:08.966Z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