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Mora kommunfullmäktige</w:t>
      </w:r>
    </w:p>
    <w:p>
      <w:pPr>
        <w:pStyle w:val="Heading1"/>
      </w:pPr>
      <w:r>
        <w:t xml:space="preserve">Cirkulär ekonomi och lokal avfallshantering i Mora kommun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Mora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Moras avfallsmängd per invånare ligger över rikssnittet enligt Avfall Sverige 2024. Ökad återvinning och lokal sortering kan minska transporter och skapa nya gröna jobb.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Mora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Mora kommunfullmäktige beslutar att införa fastighetsnära sortering av matavfall i hela kommunen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Mora kommunfullmäktige beslutar att avsätta 1 mnkr för investering i lokal komposteringsanläggning.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Mora kommunfullmäktige beslutar att införa incitament för hushåll som minskar sitt restavfall.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Mora kommunfullmäktige beslutar att redovisa återvinningsgrad per kommundel årligen.</w:t>
      </w:r>
    </w:p>
    <w:p>
      <w:pPr>
        <w:spacing w:before="360"/>
      </w:pPr>
    </w:p>
    <w:p>
      <w:r>
        <w:t xml:space="preserve">Mora,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Mora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2026-07-14T00:50:14.621Z</dcterms:created>
  <dcterms:modified xsi:type="dcterms:W3CDTF">2026-07-14T00:50:14.621Z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