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Malung-Sälen kommunfullmäktige</w:t>
      </w:r>
    </w:p>
    <w:p>
      <w:pPr>
        <w:pStyle w:val="Heading1"/>
      </w:pPr>
      <w:r>
        <w:t xml:space="preserve">Bevara och utveckla landsbygdsskolor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Malung-Sälen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Malung-Sälens grundskolor har ett genomsnittligt meritvärde på 210 enligt Kolada 2024, lägre än rikssnittet. Små skolor i Limedsforsen och Transtrand riskerar nedläggning trots hög trivsel och korta resor för eleverna.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Malung-Sälen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landsbygdsskolorna ska behållas så länge elevunderlaget överstiger 15 elever per årskurs.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ger barn- och utbildningsnämnden i uppdrag att ta fram en utvecklingsplan för ökad digital kompetens och samverkan mellan landsbygdsskolor.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avsätter medel för transportstöd så att elever kan delta i gemensamma aktiviteter utan att skolorna slås ihop.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begär en årlig rapport om skolornas elevunderlag och resultat.</w:t>
      </w:r>
    </w:p>
    <w:p>
      <w:pPr>
        <w:spacing w:before="360"/>
      </w:pPr>
    </w:p>
    <w:p>
      <w:r>
        <w:t xml:space="preserve">Malung-Sälen,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Malung-Sälen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2026-07-14T00:46:54.663Z</dcterms:created>
  <dcterms:modified xsi:type="dcterms:W3CDTF">2026-07-14T00:46:54.663Z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