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Leksand kommunfullmäktige</w:t>
      </w:r>
    </w:p>
    <w:p>
      <w:pPr>
        <w:pStyle w:val="Heading1"/>
      </w:pPr>
      <w:r>
        <w:t xml:space="preserve">Snabbare integration genom språk och matchning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Leksand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Arbetsförmedlingen 2024 visar att 42 % av nyanlända i Leksand saknar etableringsplan efter två år. Språkutbildning är begränsad utanför centralorten.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Leksand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Leksands kommunfullmäktige beslutar att erbjuda SFI i kombination med praktik hos lokala företag.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Leksands kommunfullmäktige beslutar att inrätta en integrationslots i samverkan med Arbetsförmedlingen.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Leksands kommunfullmäktige beslutar att avsätta medel för språkcaféer på landsbygden.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Leksands kommunfullmäktige beslutar att mäta etableringsgrad årligen och redovisa till kommunfullmäktige.</w:t>
      </w:r>
    </w:p>
    <w:p>
      <w:pPr>
        <w:spacing w:before="360"/>
      </w:pPr>
    </w:p>
    <w:p>
      <w:r>
        <w:t xml:space="preserve">Leksand,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Leksand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2026-07-14T00:37:10.258Z</dcterms:created>
  <dcterms:modified xsi:type="dcterms:W3CDTF">2026-07-14T00:37:10.258Z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