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Hedemora kommunfullmäktige</w:t>
      </w:r>
    </w:p>
    <w:p>
      <w:pPr>
        <w:pStyle w:val="Heading1"/>
      </w:pPr>
      <w:r>
        <w:t xml:space="preserve">Praktikplatser för nyanlända hos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Hedemora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i Hedemora är 18 % enligt Arbetsförmedlingen 2025. Snabbare etablering via praktik hos kommunala bolag som Hedemora Energi och Fastigheter kan förbättra matchningen.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Hedemora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kommunala bolag åläggs att erbjuda minst 15 praktikplatser per år för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Arbetsförmedlingen och SFI förstärks.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mentorfunktion införs för praktikanterna.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övergång till reguljärt arbete redovisas årligen.</w:t>
      </w:r>
    </w:p>
    <w:p>
      <w:pPr>
        <w:spacing w:before="360"/>
      </w:pPr>
    </w:p>
    <w:p>
      <w:r>
        <w:t xml:space="preserve">Hedemora,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Hedemora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2026-07-14T00:09:54.768Z</dcterms:created>
  <dcterms:modified xsi:type="dcterms:W3CDTF">2026-07-14T00:09:54.768Z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