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Hedemora kommunfullmäktige</w:t>
      </w:r>
    </w:p>
    <w:p>
      <w:pPr>
        <w:pStyle w:val="Heading1"/>
      </w:pPr>
      <w:r>
        <w:t xml:space="preserve">Förenklade bygglov och lägre avgifter för småhus och lantbruk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Hedemora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Svenskt Näringsliv rankar Hedemora 240/290 i företagsklimat 2025, där handläggningstider för bygglov är en återkommande kritik. Långa tider och höga avgifter motverkar inflyttning och expansion av lantbruk och småföretag.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Hedemora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bygglovsprocessen maximeras till 6 veckor för ärenden under 300 kvm.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avgifterna för bygglov på landsbygden sänks med 25 % från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digital e-tjänst för bygglov införs med tydliga checklistor.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utvärdering av handläggningstider redovisas för kommunfullmäktige.</w:t>
      </w:r>
    </w:p>
    <w:p>
      <w:pPr>
        <w:spacing w:before="360"/>
      </w:pPr>
    </w:p>
    <w:p>
      <w:r>
        <w:t xml:space="preserve">Hedemora,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Hedemora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2026-07-14T00:09:54.715Z</dcterms:created>
  <dcterms:modified xsi:type="dcterms:W3CDTF">2026-07-14T00:09:54.715Z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