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Gagnef kommunfullmäktige</w:t>
      </w:r>
    </w:p>
    <w:p>
      <w:pPr>
        <w:pStyle w:val="Heading1"/>
      </w:pPr>
      <w:r>
        <w:t xml:space="preserve">Digital service i kommunförvaltningen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Gagnef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Gagnef har låg digital mognad enligt SKR 2024. Medborgarna efterfrågar enklare e-tjänster.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Gagnef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Gagnef kommunfullmäktige beslutar att införa 10 nya e-tjänster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utbilda personal i digitala verktyg.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minska pappershantering med 30 %.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användarnöjdhet mäts årligen.</w:t>
      </w:r>
    </w:p>
    <w:p>
      <w:pPr>
        <w:spacing w:before="360"/>
      </w:pPr>
    </w:p>
    <w:p>
      <w:r>
        <w:t xml:space="preserve">Gagnef,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Gagnef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2026-07-13T23:57:40.816Z</dcterms:created>
  <dcterms:modified xsi:type="dcterms:W3CDTF">2026-07-13T23:57:40.816Z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