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Avesta kommunfullmäktige</w:t>
      </w:r>
    </w:p>
    <w:p>
      <w:pPr>
        <w:pStyle w:val="Heading1"/>
      </w:pPr>
      <w:r>
        <w:t xml:space="preserve">Utveckla hållbar turism och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Avesta har potential kring Dalälven, myntmuseum och natur men saknar samlad strategi. Turism kan skapa jobb och stärka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besöksnäringsstrategi antas under 2027 med fokus på hållbarhet.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2 miljoner kronor avsätts för marknadsföring och infrastruktur.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Visit Dalarna och lokala producenter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 på sysselsättning följs upp årligen.</w:t>
      </w:r>
    </w:p>
    <w:p>
      <w:pPr>
        <w:spacing w:before="360"/>
      </w:pPr>
    </w:p>
    <w:p>
      <w:r>
        <w:t xml:space="preserve">Avesta,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2026-07-13T23:37:55.331Z</dcterms:created>
  <dcterms:modified xsi:type="dcterms:W3CDTF">2026-07-13T23:37:55.331Z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