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Älvdalen kommunfullmäktige</w:t>
      </w:r>
    </w:p>
    <w:p>
      <w:pPr>
        <w:pStyle w:val="Heading1"/>
      </w:pPr>
      <w:r>
        <w:t xml:space="preserve">Utveckla hållbar turism i Älvdalen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Älvdalen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Besöksnäringen är viktig för Älvdalen men behöver hållbar utveckling enligt Visit Dalarna. Natur, kultur och lokala producenter kan skapa fler jobb.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Älvdalen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Älvdalens kommunfullmäktige beslutar att ta fram en turismstrategi med fokus på hållbarhet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stöd ges till lokala producenter för paketering av upplevelser.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cykel- och vandringsleder rustas upp med statliga medel.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turismrapport lämnas till fullmäktige.</w:t>
      </w:r>
    </w:p>
    <w:p>
      <w:pPr>
        <w:spacing w:before="360"/>
      </w:pPr>
    </w:p>
    <w:p>
      <w:r>
        <w:t xml:space="preserve">Älvdalen,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Älvdalen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2026-07-14T01:59:45.457Z</dcterms:created>
  <dcterms:modified xsi:type="dcterms:W3CDTF">2026-07-14T01:59:45.457Z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