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Olofström kommunfullmäktige</w:t>
      </w:r>
    </w:p>
    <w:p>
      <w:pPr>
        <w:pStyle w:val="Heading1"/>
      </w:pPr>
      <w:r>
        <w:t xml:space="preserve">Säkra landsbygdsskolornas framtid och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Olofström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skolor på landsbygden hotas av elevminskning. Kolada visar lägre meritvärden än rikssnitt. Valfrihet och närhet är centralt för Centerpartiet.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Olofström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garanterar fortsatt drift av minst tre landsbygdsskolor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resurser avsätts för studiero och digital kompetens.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vårdnadshavare ges ökad möjlighet till skolval inom kommunen.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utredning om skolskjuts och samverkan med föreningsliv genomförs.</w:t>
      </w:r>
    </w:p>
    <w:p>
      <w:pPr>
        <w:spacing w:before="360"/>
      </w:pPr>
    </w:p>
    <w:p>
      <w:r>
        <w:t xml:space="preserve">Olofström,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Olofström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2026-07-14T01:01:22.114Z</dcterms:created>
  <dcterms:modified xsi:type="dcterms:W3CDTF">2026-07-14T01:01:22.114Z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